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1"/>
        <w:framePr w:h="1440" w:hAnchor="page" w:hRule="atLeast" w:hSpace="38" w:vAnchor="text" w:w="1825" w:wrap="notBeside" w:x="5245" w:y="103"/>
        <w:pBdr/>
        <w:spacing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210" w:type="dxa"/>
        <w:tblBorders>
          <w:top w:val="single" w:color="000000" w:sz="24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59"/>
        </w:trPr>
        <w:tc>
          <w:tcPr>
            <w:tcBorders/>
            <w:tcW w:w="9598" w:type="dxa"/>
            <w:vAlign w:val="top"/>
            <w:textDirection w:val="lrTb"/>
            <w:noWrap w:val="false"/>
          </w:tcPr>
          <w:p>
            <w:pPr>
              <w:pStyle w:val="921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</w:rPr>
        <w:t xml:space="preserve"> 3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sz w:val="27"/>
          <w:szCs w:val="27"/>
          <w:highlight w:val="none"/>
        </w:rPr>
      </w:r>
    </w:p>
    <w:p>
      <w:pPr>
        <w:pStyle w:val="921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keepNext w:val="true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выполнении плана комплектования Учебно-методического центра по ГО и ЧС Республики Татарстан Нижнекамским Муниципальным районом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keepNext w:val="true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2025 году.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8"/>
        <w:pBdr/>
        <w:shd w:val="clear" w:color="auto" w:fill="auto"/>
        <w:spacing w:after="0" w:before="0"/>
        <w:ind w:right="23" w:firstLine="669" w:left="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pBdr/>
        <w:shd w:val="clear" w:color="auto" w:fill="auto"/>
        <w:spacing w:after="0" w:before="0"/>
        <w:ind w:right="23" w:firstLine="669" w:left="40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подготовки руководителей, должностных лиц и работников гражданской обороны территориальной подсистемы предупреждения и ликвидации чрезвычайных ситуаций в 2025 году в «Учебно-методический центр по гражданской обороне и чрезвычайным ситуациям Респуб</w:t>
      </w:r>
      <w:r>
        <w:rPr>
          <w:sz w:val="28"/>
          <w:szCs w:val="28"/>
        </w:rPr>
        <w:t xml:space="preserve">лики Татарстан» и его филиале в г.Нижнекамск (Далее УМЦ), Комиссия по предупреждению и ликвидации чрезвычайных ситуаций и обеспечению пожарной безопасности Нижнекамского муниципального района Республики Татарстан рассмотрели на заседании следующие вопросы: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8"/>
        <w:numPr>
          <w:ilvl w:val="0"/>
          <w:numId w:val="1"/>
        </w:numPr>
        <w:pBdr/>
        <w:shd w:val="clear" w:color="auto" w:fill="auto"/>
        <w:tabs>
          <w:tab w:val="left" w:leader="none" w:pos="1276"/>
        </w:tabs>
        <w:spacing w:after="0" w:before="0"/>
        <w:ind w:right="23" w:firstLine="669" w:left="40"/>
        <w:rPr>
          <w:sz w:val="28"/>
          <w:szCs w:val="28"/>
        </w:rPr>
      </w:pPr>
      <w:r>
        <w:rPr>
          <w:sz w:val="28"/>
          <w:szCs w:val="28"/>
        </w:rPr>
        <w:t xml:space="preserve">О ходе выполнения плана подготовки населения Нижнекамского муниципального района в области гражданской обороны и защиты от чрезвычайных ситуаций на 2025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numPr>
          <w:ilvl w:val="0"/>
          <w:numId w:val="1"/>
        </w:numPr>
        <w:pBdr/>
        <w:shd w:val="clear" w:color="auto" w:fill="auto"/>
        <w:tabs>
          <w:tab w:val="left" w:leader="none" w:pos="1276"/>
        </w:tabs>
        <w:spacing w:after="0" w:before="0"/>
        <w:ind w:right="23" w:firstLine="669" w:left="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 обучении в 2026 году членов Комиссии по </w:t>
      </w:r>
      <w:r>
        <w:rPr>
          <w:sz w:val="28"/>
          <w:szCs w:val="28"/>
          <w:highlight w:val="white"/>
        </w:rPr>
        <w:t xml:space="preserve">предупреждению и ликвидации чрезвычайных ситуаций и обеспечению пожарной безопасности Нижнекамского муни</w:t>
      </w:r>
      <w:r>
        <w:rPr>
          <w:sz w:val="28"/>
          <w:szCs w:val="28"/>
          <w:highlight w:val="white"/>
        </w:rPr>
        <w:t xml:space="preserve">ципального района Республики Татарстан</w:t>
      </w:r>
      <w:r>
        <w:rPr>
          <w:sz w:val="28"/>
          <w:szCs w:val="28"/>
          <w:highlight w:val="white"/>
        </w:rPr>
        <w:t xml:space="preserve"> (д</w:t>
      </w:r>
      <w:r>
        <w:rPr>
          <w:sz w:val="28"/>
          <w:szCs w:val="28"/>
          <w:highlight w:val="white"/>
        </w:rPr>
        <w:t xml:space="preserve">алее - КЧС и ОПБ), членов Комиссии по повышению устойчивости функционирования организаций в военное время и в чрезвычайных ситуациях на территории Нижнекамского муниципального района (далее - КПУФ) и членов эвакуационной (эвакоприемных) комиссий.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ижнекамским муниципальным районом План комплектования УМЦ РТ выполнен на 55%, на коммерческой основе на 40%, филиала УМЦ НМР на 99%. В  целом за 2025 год план подготовки должностных лиц и работников ГО и ТСЧС Нижнекамского муниципального района в рамках</w:t>
      </w:r>
      <w:r>
        <w:rPr>
          <w:sz w:val="28"/>
          <w:szCs w:val="28"/>
          <w:highlight w:val="none"/>
        </w:rPr>
        <w:t xml:space="preserve"> Государственного задания выполнен на 90%. 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 а) руководители органов муниципального образования и организаций: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1. Руководители организаций с численностью работающих до 200 человек – 16;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2. Руководители дошкольных образовательных организаций -35.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 </w:t>
      </w:r>
      <w:r>
        <w:rPr>
          <w:sz w:val="28"/>
          <w:szCs w:val="28"/>
          <w:highlight w:val="none"/>
        </w:rPr>
        <w:t xml:space="preserve">должностные лица и специалисты ТСЧС и ГО: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Должностные лица и работники ГО и территориальной подсистемы ТСЧС – 481: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1.должностные лица, входящие в составы эвакуационных и эвакоприемных органов (ЭК +СЭП ) – 248;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2. должностные лица ТСЧС (ДДС) – 185;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3. работники, входящие в состав эвакуационных комиссий – 48;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в) работающее население: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Подготовка работающего персонала организаций, не входящего в состав нештатных аварийно-спасательных формирований и нештатных формирований по обеспечению выполнения мероприятий по гражданской обороне, осуществлялась непосредственно по месту работы без отрыв</w:t>
      </w:r>
      <w:r>
        <w:rPr>
          <w:sz w:val="28"/>
          <w:szCs w:val="28"/>
          <w:highlight w:val="none"/>
        </w:rPr>
        <w:t xml:space="preserve">а от производственной деятельности по рабочим программам, утвержденным руководителями гражданской обороны организаций.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 В Нижнекамском филиале УМЦ по ГО ЧС РТ в отчетном году было подготовлено 626 работников организаций, осуществляющих курсовое обучение и инструктаж работающего персонала в области гражданской обороны. 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ля физических лиц, состоящих в трудовых отношениях с работодателем, в организациях организованы и проводятся с вновь принятыми работниками  в течение первого месяца работы  вводные инструктажи по действиям в чрезвычайных ситуациях и по гражданской обороне,</w:t>
      </w:r>
      <w:r>
        <w:rPr>
          <w:sz w:val="28"/>
          <w:szCs w:val="28"/>
          <w:highlight w:val="none"/>
        </w:rPr>
        <w:t xml:space="preserve">  а также ежегодный инструктаж по действиям в чрезвычайных ситуациях.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г) нештатные аварийно-спасательные формирования и спасательные службы – 60 человек.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одготовка командиров нештатных формирований по обеспечению выполнения мероприятий по гражданской обороне осуществлялась в Нижнекамском филиале учебно-методического центра по гражданской обороне и чрезвычайным ситуациям Республики Татарстан в соответствии с</w:t>
      </w:r>
      <w:r>
        <w:rPr>
          <w:sz w:val="28"/>
          <w:szCs w:val="28"/>
          <w:highlight w:val="none"/>
        </w:rPr>
        <w:t xml:space="preserve"> требованиями нормативно-правовых документов Российской Федерации, Республики Татарстан.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Проверка и оценка уровня подготовки личного состава нештатных формирований по обеспечению выполнения мероприятий по гражданской обороне и спасательных служб проверялась в ходе учений, тренировок, смотров готовности в период проведения тактико-специальных у</w:t>
      </w:r>
      <w:r>
        <w:rPr>
          <w:sz w:val="28"/>
          <w:szCs w:val="28"/>
          <w:highlight w:val="none"/>
        </w:rPr>
        <w:t xml:space="preserve">чений, тренировок. 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д) учащиеся и студенты учреждений общего образования, учреждений среднего и профессионально образования: 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бразовательные задачи в области гражданской защиты в общеобразовательных учреждениях решались в течение всего учебного года через организацию целенаправленной систематической работы по повышению профессионального уровня учителей, в процессе изучения курса </w:t>
      </w:r>
      <w:r>
        <w:rPr>
          <w:sz w:val="28"/>
          <w:szCs w:val="28"/>
          <w:highlight w:val="none"/>
        </w:rPr>
        <w:t xml:space="preserve">«Основы безопасности и защиты Родины», а также в ходе внеклассной воспитательной работы, в ходе  тренировочных занятий.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Подготовка преподавателей в целом обеспечивает необходимый организационно-методический уровень проведения занятий по дисциплине  «Безопасность жизнедеятельности».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2026 году необходимо уделить особое внимание подготовке должностных лиц, входящих в состав районных комиссий и спасательных служб. Это связано с тем, что в их состав (по согласованию) входят руководители организаций, не подчиненных органам местного самоуп</w:t>
      </w:r>
      <w:r>
        <w:rPr>
          <w:sz w:val="28"/>
          <w:szCs w:val="28"/>
          <w:highlight w:val="none"/>
        </w:rPr>
        <w:t xml:space="preserve">равления. Поскольку такие руководители не могут быть направлены на обучение в рамках установленных категорий из-за отсутствия командирования и финансирования, следует рассмотреть возможность их дистанционного или коммерческого обучения.</w:t>
      </w:r>
      <w:r>
        <w:rPr>
          <w:sz w:val="28"/>
          <w:szCs w:val="28"/>
          <w:highlight w:val="none"/>
        </w:rPr>
      </w:r>
      <w:r/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Решила: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28"/>
        <w:numPr>
          <w:ilvl w:val="0"/>
          <w:numId w:val="22"/>
        </w:numPr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right="0" w:firstLine="709" w:left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Рекомендовать главам сельских поселений, руководителям организаций независимо от форм собственности: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2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right="0" w:firstLine="709" w:left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-</w:t>
      </w:r>
      <w:r>
        <w:rPr>
          <w:b w:val="0"/>
          <w:bCs w:val="0"/>
          <w:sz w:val="28"/>
          <w:szCs w:val="28"/>
          <w:highlight w:val="none"/>
        </w:rPr>
        <w:t xml:space="preserve">Обеспечить своевременное прохождение должностными лицами обучения ГО и (ЧС) в соответствии с планом комплектования Учебно-методического центра (УМЦ) по ГО и ЧС на 2026 год.;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28"/>
        <w:pBdr/>
        <w:shd w:val="clear" w:color="auto" w:fill="auto"/>
        <w:tabs>
          <w:tab w:val="left" w:leader="none" w:pos="851"/>
          <w:tab w:val="left" w:leader="none" w:pos="1276"/>
        </w:tabs>
        <w:spacing w:after="0" w:before="0" w:line="322" w:lineRule="exact"/>
        <w:ind w:right="0" w:firstLine="709" w:left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-По окончании обучения копии удостоверений направлять в Управление МЧС РТ по Нижнекамскому муниципальному району.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28"/>
        <w:pBdr/>
        <w:shd w:val="clear" w:color="auto" w:fill="auto"/>
        <w:tabs>
          <w:tab w:val="left" w:leader="none" w:pos="709"/>
          <w:tab w:val="left" w:leader="none" w:pos="851"/>
          <w:tab w:val="left" w:leader="none" w:pos="1276"/>
        </w:tabs>
        <w:spacing w:after="0" w:before="0" w:line="322" w:lineRule="exact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распоряжения </w:t>
      </w:r>
      <w:r>
        <w:rPr>
          <w:sz w:val="28"/>
          <w:szCs w:val="28"/>
        </w:rPr>
        <w:t xml:space="preserve">возложить на заместителя Руководителя Исполнительного комитета Нижнекамского муниципального района по</w:t>
      </w:r>
      <w:r>
        <w:rPr>
          <w:sz w:val="28"/>
          <w:szCs w:val="28"/>
        </w:rPr>
        <w:t xml:space="preserve"> взаимодействию с правоохранительными органами</w:t>
      </w:r>
      <w:r>
        <w:rPr>
          <w:sz w:val="28"/>
          <w:szCs w:val="28"/>
        </w:rPr>
        <w:t xml:space="preserve"> Сайфутдинова А.Р.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9"/>
        <w:pBdr/>
        <w:spacing/>
        <w:ind w:right="32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pBdr/>
        <w:spacing/>
        <w:ind w:right="32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pBdr/>
        <w:spacing/>
        <w:ind w:right="2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Первый заместитель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редседателя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right="2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комиссии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предупреждению и ликвидации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right="2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чрезвычайных ситуаций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right="2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обеспечению пожарной безопасности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right="2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И.о. 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уководителя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right="2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right="2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Нижнекамского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М.М.Хайрутдинов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footnotePr/>
      <w:endnotePr/>
      <w:type w:val="continuous"/>
      <w:pgSz w:h="16837" w:orient="portrait" w:w="11905"/>
      <w:pgMar w:top="993" w:right="706" w:bottom="1276" w:left="1276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Sylfaen">
    <w:panose1 w:val="010A05020503060303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8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360" w:left="1069"/>
      </w:pPr>
      <w:rPr/>
      <w:start w:val="3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75" w:left="1084"/>
      </w:pPr>
      <w:rPr>
        <w:color w:val="000000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  <w:sz w:val="26"/>
        <w:szCs w:val="26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18"/>
  </w:num>
  <w:num w:numId="10">
    <w:abstractNumId w:val="17"/>
  </w:num>
  <w:num w:numId="11">
    <w:abstractNumId w:val="19"/>
  </w:num>
  <w:num w:numId="12">
    <w:abstractNumId w:val="15"/>
  </w:num>
  <w:num w:numId="13">
    <w:abstractNumId w:val="9"/>
  </w:num>
  <w:num w:numId="14">
    <w:abstractNumId w:val="8"/>
  </w:num>
  <w:num w:numId="15">
    <w:abstractNumId w:val="1"/>
  </w:num>
  <w:num w:numId="16">
    <w:abstractNumId w:val="16"/>
  </w:num>
  <w:num w:numId="17">
    <w:abstractNumId w:val="5"/>
  </w:num>
  <w:num w:numId="18">
    <w:abstractNumId w:val="3"/>
  </w:num>
  <w:num w:numId="19">
    <w:abstractNumId w:val="13"/>
  </w:num>
  <w:num w:numId="20">
    <w:abstractNumId w:val="6"/>
  </w:num>
  <w:num w:numId="21">
    <w:abstractNumId w:val="7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Heading 1"/>
    <w:basedOn w:val="921"/>
    <w:next w:val="921"/>
    <w:link w:val="7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921"/>
    <w:next w:val="921"/>
    <w:link w:val="7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7">
    <w:name w:val="Heading 3"/>
    <w:basedOn w:val="921"/>
    <w:next w:val="92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link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921"/>
    <w:next w:val="92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21"/>
    <w:next w:val="921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21"/>
    <w:next w:val="92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21"/>
    <w:next w:val="92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21"/>
    <w:next w:val="92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21"/>
    <w:next w:val="92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21"/>
    <w:uiPriority w:val="34"/>
    <w:qFormat/>
    <w:pPr>
      <w:pBdr/>
      <w:spacing/>
      <w:ind w:left="720"/>
      <w:contextualSpacing w:val="true"/>
    </w:pPr>
  </w:style>
  <w:style w:type="paragraph" w:styleId="762">
    <w:name w:val="No Spacing"/>
    <w:uiPriority w:val="1"/>
    <w:qFormat/>
    <w:pPr>
      <w:pBdr/>
      <w:spacing w:after="0" w:before="0" w:line="240" w:lineRule="auto"/>
      <w:ind/>
    </w:pPr>
  </w:style>
  <w:style w:type="paragraph" w:styleId="763">
    <w:name w:val="Title"/>
    <w:basedOn w:val="921"/>
    <w:next w:val="921"/>
    <w:link w:val="76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4">
    <w:name w:val="Title Char"/>
    <w:link w:val="763"/>
    <w:uiPriority w:val="10"/>
    <w:pPr>
      <w:pBdr/>
      <w:spacing/>
      <w:ind/>
    </w:pPr>
    <w:rPr>
      <w:sz w:val="48"/>
      <w:szCs w:val="48"/>
    </w:rPr>
  </w:style>
  <w:style w:type="paragraph" w:styleId="765">
    <w:name w:val="Subtitle"/>
    <w:basedOn w:val="921"/>
    <w:next w:val="921"/>
    <w:link w:val="7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6">
    <w:name w:val="Subtitle Char"/>
    <w:link w:val="765"/>
    <w:uiPriority w:val="11"/>
    <w:pPr>
      <w:pBdr/>
      <w:spacing/>
      <w:ind/>
    </w:pPr>
    <w:rPr>
      <w:sz w:val="24"/>
      <w:szCs w:val="24"/>
    </w:rPr>
  </w:style>
  <w:style w:type="paragraph" w:styleId="767">
    <w:name w:val="Quote"/>
    <w:basedOn w:val="921"/>
    <w:next w:val="921"/>
    <w:link w:val="768"/>
    <w:uiPriority w:val="29"/>
    <w:qFormat/>
    <w:pPr>
      <w:pBdr/>
      <w:spacing/>
      <w:ind w:right="720" w:left="720"/>
    </w:pPr>
    <w:rPr>
      <w:i/>
    </w:rPr>
  </w:style>
  <w:style w:type="character" w:styleId="768">
    <w:name w:val="Quote Char"/>
    <w:link w:val="767"/>
    <w:uiPriority w:val="29"/>
    <w:pPr>
      <w:pBdr/>
      <w:spacing/>
      <w:ind/>
    </w:pPr>
    <w:rPr>
      <w:i/>
    </w:rPr>
  </w:style>
  <w:style w:type="paragraph" w:styleId="769">
    <w:name w:val="Intense Quote"/>
    <w:basedOn w:val="921"/>
    <w:next w:val="921"/>
    <w:link w:val="7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0">
    <w:name w:val="Intense Quote Char"/>
    <w:link w:val="769"/>
    <w:uiPriority w:val="30"/>
    <w:pPr>
      <w:pBdr/>
      <w:spacing/>
      <w:ind/>
    </w:pPr>
    <w:rPr>
      <w:i/>
    </w:rPr>
  </w:style>
  <w:style w:type="paragraph" w:styleId="771">
    <w:name w:val="Header"/>
    <w:basedOn w:val="921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2">
    <w:name w:val="Header Char"/>
    <w:link w:val="771"/>
    <w:uiPriority w:val="99"/>
    <w:pPr>
      <w:pBdr/>
      <w:spacing/>
      <w:ind/>
    </w:pPr>
  </w:style>
  <w:style w:type="paragraph" w:styleId="773">
    <w:name w:val="Footer"/>
    <w:basedOn w:val="921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4">
    <w:name w:val="Footer Char"/>
    <w:link w:val="773"/>
    <w:uiPriority w:val="99"/>
    <w:pPr>
      <w:pBdr/>
      <w:spacing/>
      <w:ind/>
    </w:pPr>
  </w:style>
  <w:style w:type="paragraph" w:styleId="775">
    <w:name w:val="Caption"/>
    <w:basedOn w:val="921"/>
    <w:next w:val="921"/>
    <w:link w:val="77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6">
    <w:name w:val="Caption Char"/>
    <w:link w:val="775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table" w:styleId="777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4">
    <w:name w:val="footnote text"/>
    <w:basedOn w:val="921"/>
    <w:link w:val="90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5">
    <w:name w:val="Footnote Text Char"/>
    <w:link w:val="904"/>
    <w:uiPriority w:val="99"/>
    <w:pPr>
      <w:pBdr/>
      <w:spacing/>
      <w:ind/>
    </w:pPr>
    <w:rPr>
      <w:sz w:val="18"/>
    </w:rPr>
  </w:style>
  <w:style w:type="character" w:styleId="90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8">
    <w:name w:val="Endnote Text Char"/>
    <w:link w:val="907"/>
    <w:uiPriority w:val="99"/>
    <w:pPr>
      <w:pBdr/>
      <w:spacing/>
      <w:ind/>
    </w:pPr>
    <w:rPr>
      <w:sz w:val="20"/>
    </w:rPr>
  </w:style>
  <w:style w:type="character" w:styleId="90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pBdr/>
      <w:spacing w:after="57"/>
      <w:ind w:right="0" w:firstLine="0" w:left="0"/>
    </w:pPr>
  </w:style>
  <w:style w:type="paragraph" w:styleId="911">
    <w:name w:val="toc 2"/>
    <w:basedOn w:val="921"/>
    <w:next w:val="921"/>
    <w:uiPriority w:val="39"/>
    <w:unhideWhenUsed/>
    <w:pPr>
      <w:pBdr/>
      <w:spacing w:after="57"/>
      <w:ind w:right="0" w:firstLine="0" w:left="283"/>
    </w:pPr>
  </w:style>
  <w:style w:type="paragraph" w:styleId="912">
    <w:name w:val="toc 3"/>
    <w:basedOn w:val="921"/>
    <w:next w:val="921"/>
    <w:uiPriority w:val="39"/>
    <w:unhideWhenUsed/>
    <w:pPr>
      <w:pBdr/>
      <w:spacing w:after="57"/>
      <w:ind w:right="0" w:firstLine="0" w:left="567"/>
    </w:pPr>
  </w:style>
  <w:style w:type="paragraph" w:styleId="913">
    <w:name w:val="toc 4"/>
    <w:basedOn w:val="921"/>
    <w:next w:val="921"/>
    <w:uiPriority w:val="39"/>
    <w:unhideWhenUsed/>
    <w:pPr>
      <w:pBdr/>
      <w:spacing w:after="57"/>
      <w:ind w:right="0" w:firstLine="0" w:left="850"/>
    </w:pPr>
  </w:style>
  <w:style w:type="paragraph" w:styleId="914">
    <w:name w:val="toc 5"/>
    <w:basedOn w:val="921"/>
    <w:next w:val="921"/>
    <w:uiPriority w:val="39"/>
    <w:unhideWhenUsed/>
    <w:pPr>
      <w:pBdr/>
      <w:spacing w:after="57"/>
      <w:ind w:right="0" w:firstLine="0" w:left="1134"/>
    </w:pPr>
  </w:style>
  <w:style w:type="paragraph" w:styleId="915">
    <w:name w:val="toc 6"/>
    <w:basedOn w:val="921"/>
    <w:next w:val="921"/>
    <w:uiPriority w:val="39"/>
    <w:unhideWhenUsed/>
    <w:pPr>
      <w:pBdr/>
      <w:spacing w:after="57"/>
      <w:ind w:right="0" w:firstLine="0" w:left="1417"/>
    </w:pPr>
  </w:style>
  <w:style w:type="paragraph" w:styleId="916">
    <w:name w:val="toc 7"/>
    <w:basedOn w:val="921"/>
    <w:next w:val="921"/>
    <w:uiPriority w:val="39"/>
    <w:unhideWhenUsed/>
    <w:pPr>
      <w:pBdr/>
      <w:spacing w:after="57"/>
      <w:ind w:right="0" w:firstLine="0" w:left="1701"/>
    </w:pPr>
  </w:style>
  <w:style w:type="paragraph" w:styleId="917">
    <w:name w:val="toc 8"/>
    <w:basedOn w:val="921"/>
    <w:next w:val="921"/>
    <w:uiPriority w:val="39"/>
    <w:unhideWhenUsed/>
    <w:pPr>
      <w:pBdr/>
      <w:spacing w:after="57"/>
      <w:ind w:right="0" w:firstLine="0" w:left="1984"/>
    </w:pPr>
  </w:style>
  <w:style w:type="paragraph" w:styleId="918">
    <w:name w:val="toc 9"/>
    <w:basedOn w:val="921"/>
    <w:next w:val="921"/>
    <w:uiPriority w:val="39"/>
    <w:unhideWhenUsed/>
    <w:pPr>
      <w:pBdr/>
      <w:spacing w:after="57"/>
      <w:ind w:right="0" w:firstLine="0" w:left="2268"/>
    </w:p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921"/>
    <w:next w:val="921"/>
    <w:uiPriority w:val="99"/>
    <w:unhideWhenUsed/>
    <w:pPr>
      <w:pBdr/>
      <w:spacing w:after="0" w:afterAutospacing="0"/>
      <w:ind/>
    </w:pPr>
  </w:style>
  <w:style w:type="paragraph" w:styleId="921" w:default="1">
    <w:name w:val="Normal"/>
    <w:next w:val="921"/>
    <w:link w:val="921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922">
    <w:name w:val="Основной шрифт абзаца"/>
    <w:next w:val="922"/>
    <w:link w:val="921"/>
    <w:uiPriority w:val="1"/>
    <w:semiHidden/>
    <w:unhideWhenUsed/>
    <w:pPr>
      <w:pBdr/>
      <w:spacing/>
      <w:ind/>
    </w:pPr>
  </w:style>
  <w:style w:type="table" w:styleId="923">
    <w:name w:val="Обычная таблица"/>
    <w:next w:val="923"/>
    <w:link w:val="921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4">
    <w:name w:val="Нет списка"/>
    <w:next w:val="924"/>
    <w:link w:val="921"/>
    <w:uiPriority w:val="99"/>
    <w:semiHidden/>
    <w:unhideWhenUsed/>
    <w:pPr>
      <w:pBdr/>
      <w:spacing/>
      <w:ind/>
    </w:pPr>
  </w:style>
  <w:style w:type="character" w:styleId="925">
    <w:name w:val="Заголовок №1_"/>
    <w:next w:val="925"/>
    <w:link w:val="927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926">
    <w:name w:val="Основной текст_"/>
    <w:next w:val="926"/>
    <w:link w:val="928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927">
    <w:name w:val="Заголовок №1"/>
    <w:basedOn w:val="921"/>
    <w:next w:val="927"/>
    <w:link w:val="925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928">
    <w:name w:val="Основной текст2"/>
    <w:basedOn w:val="921"/>
    <w:next w:val="928"/>
    <w:link w:val="926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929">
    <w:name w:val="Основной текст"/>
    <w:basedOn w:val="921"/>
    <w:next w:val="929"/>
    <w:link w:val="930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930">
    <w:name w:val="Основной текст Знак"/>
    <w:next w:val="930"/>
    <w:link w:val="929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31">
    <w:name w:val="Абзац списка"/>
    <w:basedOn w:val="921"/>
    <w:next w:val="931"/>
    <w:link w:val="921"/>
    <w:uiPriority w:val="34"/>
    <w:qFormat/>
    <w:pPr>
      <w:pBdr/>
      <w:spacing/>
      <w:ind w:left="708"/>
    </w:pPr>
  </w:style>
  <w:style w:type="paragraph" w:styleId="932">
    <w:name w:val="Основной текст4"/>
    <w:basedOn w:val="921"/>
    <w:next w:val="932"/>
    <w:link w:val="921"/>
    <w:pPr>
      <w:pBdr/>
      <w:shd w:val="clear" w:color="auto" w:fill="ffffff"/>
      <w:spacing w:after="300" w:before="1560" w:line="322" w:lineRule="exact"/>
      <w:ind/>
      <w:jc w:val="both"/>
    </w:pPr>
    <w:rPr>
      <w:rFonts w:ascii="Times New Roman" w:hAnsi="Times New Roman" w:eastAsia="Times New Roman" w:cs="Times New Roman"/>
      <w:spacing w:val="3"/>
      <w:sz w:val="25"/>
      <w:szCs w:val="25"/>
      <w:lang w:val="ru"/>
    </w:rPr>
  </w:style>
  <w:style w:type="paragraph" w:styleId="933">
    <w:name w:val="Основной текст15"/>
    <w:basedOn w:val="921"/>
    <w:next w:val="933"/>
    <w:link w:val="921"/>
    <w:pPr>
      <w:pBdr/>
      <w:shd w:val="clear" w:color="auto" w:fill="ffffff"/>
      <w:spacing w:line="322" w:lineRule="exact"/>
      <w:ind/>
      <w:jc w:val="both"/>
    </w:pPr>
    <w:rPr>
      <w:rFonts w:ascii="Sylfaen" w:hAnsi="Sylfaen" w:eastAsia="Sylfaen" w:cs="Sylfaen"/>
      <w:spacing w:val="6"/>
      <w:lang w:val="ru"/>
    </w:rPr>
  </w:style>
  <w:style w:type="character" w:styleId="934">
    <w:name w:val="Основной текст + 13;5 pt;Малые прописные;Интервал 0 pt"/>
    <w:next w:val="934"/>
    <w:link w:val="921"/>
    <w:pPr>
      <w:pBdr/>
      <w:spacing/>
      <w:ind/>
    </w:pPr>
    <w:rPr>
      <w:rFonts w:ascii="Sylfaen" w:hAnsi="Sylfaen" w:eastAsia="Sylfaen" w:cs="Sylfaen"/>
      <w:smallCaps/>
      <w:spacing w:val="14"/>
      <w:sz w:val="26"/>
      <w:szCs w:val="26"/>
      <w:shd w:val="clear" w:color="auto" w:fill="ffffff"/>
    </w:rPr>
  </w:style>
  <w:style w:type="paragraph" w:styleId="935">
    <w:name w:val="Основной текст с отступом 3"/>
    <w:basedOn w:val="921"/>
    <w:next w:val="935"/>
    <w:link w:val="921"/>
    <w:pPr>
      <w:pBdr/>
      <w:spacing w:after="120"/>
      <w:ind w:left="283"/>
    </w:pPr>
    <w:rPr>
      <w:sz w:val="16"/>
      <w:szCs w:val="16"/>
    </w:rPr>
  </w:style>
  <w:style w:type="paragraph" w:styleId="936">
    <w:name w:val="Текст выноски"/>
    <w:basedOn w:val="921"/>
    <w:next w:val="936"/>
    <w:link w:val="93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7">
    <w:name w:val="Текст выноски Знак"/>
    <w:next w:val="937"/>
    <w:link w:val="936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numbering" w:styleId="939" w:default="1">
    <w:name w:val="No List"/>
    <w:uiPriority w:val="99"/>
    <w:semiHidden/>
    <w:unhideWhenUsed/>
    <w:pPr>
      <w:pBdr/>
      <w:spacing/>
      <w:ind/>
    </w:pPr>
  </w:style>
  <w:style w:type="table" w:styleId="94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37</cp:revision>
  <dcterms:created xsi:type="dcterms:W3CDTF">2022-12-12T06:50:00Z</dcterms:created>
  <dcterms:modified xsi:type="dcterms:W3CDTF">2026-01-30T06:35:28Z</dcterms:modified>
  <cp:version>1048576</cp:version>
</cp:coreProperties>
</file>